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07"/>
        <w:gridCol w:w="376"/>
        <w:gridCol w:w="371"/>
        <w:gridCol w:w="2268"/>
        <w:gridCol w:w="2209"/>
        <w:gridCol w:w="294"/>
        <w:gridCol w:w="1237"/>
        <w:gridCol w:w="1551"/>
        <w:gridCol w:w="237"/>
        <w:gridCol w:w="73"/>
        <w:gridCol w:w="86"/>
        <w:gridCol w:w="353"/>
        <w:gridCol w:w="114"/>
        <w:gridCol w:w="103"/>
        <w:gridCol w:w="44"/>
      </w:tblGrid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28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7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C82894"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00C72CB" wp14:editId="189CA134">
                  <wp:extent cx="743585" cy="8293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8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7796" w:type="dxa"/>
            <w:gridSpan w:val="6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E50502" w:rsidTr="00C82894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2894" w:rsidRPr="00D24911" w:rsidRDefault="00C82894" w:rsidP="00C8289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82894" w:rsidRPr="00D24911" w:rsidRDefault="00C82894" w:rsidP="00C82894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50502" w:rsidRDefault="00C82894" w:rsidP="00C82894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50502" w:rsidRDefault="00E50502"/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75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9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83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1"/>
            </w:tblGrid>
            <w:tr w:rsidR="00E5050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0502" w:rsidRDefault="00E50502"/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5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DD33FE" w:rsidTr="00C82894">
        <w:trPr>
          <w:trHeight w:val="37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04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8"/>
            </w:tblGrid>
            <w:tr w:rsidR="00E50502" w:rsidRPr="00DD33FE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0257BC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F21E66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 w:rsidTr="00C82894">
        <w:trPr>
          <w:trHeight w:val="4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37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78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5050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502" w:rsidRDefault="000257B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2A6B668" wp14:editId="30B0932B">
                        <wp:extent cx="1057275" cy="409575"/>
                        <wp:effectExtent l="0" t="0" r="9525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0502" w:rsidRDefault="00E50502"/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28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2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Баскетбол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0502" w:rsidRDefault="00E50502"/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9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DD33FE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DD33F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E16F7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E16F73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16F73">
                    <w:rPr>
                      <w:color w:val="000000"/>
                      <w:sz w:val="32"/>
                      <w:lang w:val="ru-RU"/>
                    </w:rPr>
                    <w:t>а.ч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0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240" w:type="dxa"/>
            <w:gridSpan w:val="8"/>
          </w:tcPr>
          <w:p w:rsidR="00C82894" w:rsidRDefault="00C82894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257BC" w:rsidRDefault="00E50502" w:rsidP="000257B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257B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18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0502">
        <w:trPr>
          <w:trHeight w:val="179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DD33FE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500B11">
                  <w:pPr>
                    <w:jc w:val="both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16F73">
                    <w:rPr>
                      <w:i/>
                      <w:color w:val="000000"/>
                      <w:sz w:val="28"/>
                      <w:lang w:val="ru-RU"/>
                    </w:rPr>
                    <w:t>Баскетбол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28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050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0502" w:rsidRDefault="00E5050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0502" w:rsidRPr="00DD33F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3B72" w:rsidP="0051355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50502" w:rsidRPr="00E16F73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44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0502" w:rsidRPr="00DD33F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211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050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500B1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0502" w:rsidRDefault="00E50502"/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DD33FE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500B1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0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63DA3" w:rsidRDefault="00E50502" w:rsidP="000257B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474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0502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0502" w:rsidRDefault="00E50502"/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E16F73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 Целью освоения дисциплины Баскетбол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способствует подготовке выпускника к решению задач профессиональной деятельности: организационно-управленческого и проектного типа.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Основные задачи освоения дисциплины: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овладеть техникой игры в баскетбол;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- развитие основных физических качеств: быстроты,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выносливости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коростно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-силовых качеств;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укрепление здоровья обучающихся, повышение работоспособности;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воспитании личности, способной к самостоятельной. творческой деятельности.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7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50502" w:rsidRPr="00DD33F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-самостоятельно развивать и поддерживать физические качества..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59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16F73" w:rsidRPr="00DD33FE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16F73" w:rsidRPr="00DD33FE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3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3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16F73" w:rsidRPr="00DD33FE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78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Pr="00E16F73" w:rsidRDefault="00E16F7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DD33FE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DD33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DD33FE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329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DD33FE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DD33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DD33FE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64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50502" w:rsidRPr="00DD33FE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9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29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1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2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lastRenderedPageBreak/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3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https://urait.ru/bcode/559943</w:t>
            </w:r>
          </w:p>
          <w:p w:rsidR="00C82894" w:rsidRPr="00E51190" w:rsidRDefault="00C82894" w:rsidP="00C82894">
            <w:pPr>
              <w:rPr>
                <w:sz w:val="28"/>
                <w:szCs w:val="28"/>
                <w:lang w:val="ru-RU"/>
              </w:rPr>
            </w:pP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DD33FE" w:rsidRPr="00957D66" w:rsidRDefault="00C82894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4</w:t>
            </w:r>
            <w:r w:rsidRPr="00E51190">
              <w:rPr>
                <w:sz w:val="28"/>
                <w:szCs w:val="28"/>
                <w:lang w:val="ru-RU"/>
              </w:rPr>
              <w:tab/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9" w:tgtFrame="_blank" w:history="1"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DD33FE" w:rsidRPr="00957D66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DD33FE" w:rsidRPr="00E90968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E90968">
              <w:rPr>
                <w:bCs/>
                <w:sz w:val="28"/>
                <w:szCs w:val="28"/>
                <w:lang w:val="ru-RU"/>
              </w:rPr>
              <w:t>.</w:t>
            </w:r>
          </w:p>
          <w:p w:rsidR="00C82894" w:rsidRPr="00E51190" w:rsidRDefault="00DD33FE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bookmarkStart w:id="0" w:name="_GoBack"/>
            <w:bookmarkEnd w:id="0"/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50502" w:rsidRPr="00E16F73" w:rsidRDefault="00C82894" w:rsidP="00C82894">
            <w:pPr>
              <w:rPr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9</w:t>
            </w:r>
            <w:r w:rsidRPr="00E51190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272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21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сайт Ассоциации студенческого баскетбола России: .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pro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100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Международной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fiba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Российской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29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8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16F73" w:rsidRPr="00DD33FE" w:rsidTr="00E16F73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50502" w:rsidRPr="00DD33F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0502" w:rsidRPr="00DD33F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7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2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DD33FE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DD33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spacing w:before="200" w:after="200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0502" w:rsidRPr="00E16F73" w:rsidRDefault="00E5050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DD33FE">
        <w:trPr>
          <w:trHeight w:val="1268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</w:tbl>
    <w:p w:rsidR="00E50502" w:rsidRPr="00E16F73" w:rsidRDefault="00E50502">
      <w:pPr>
        <w:rPr>
          <w:lang w:val="ru-RU"/>
        </w:rPr>
      </w:pPr>
    </w:p>
    <w:sectPr w:rsidR="00E50502" w:rsidRPr="00E16F73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61" w:rsidRDefault="00480261">
      <w:r>
        <w:separator/>
      </w:r>
    </w:p>
  </w:endnote>
  <w:endnote w:type="continuationSeparator" w:id="0">
    <w:p w:rsidR="00480261" w:rsidRDefault="0048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61" w:rsidRDefault="00480261">
      <w:r>
        <w:separator/>
      </w:r>
    </w:p>
  </w:footnote>
  <w:footnote w:type="continuationSeparator" w:id="0">
    <w:p w:rsidR="00480261" w:rsidRDefault="00480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73"/>
    <w:rsid w:val="000257BC"/>
    <w:rsid w:val="00054C5C"/>
    <w:rsid w:val="00063DA3"/>
    <w:rsid w:val="00480261"/>
    <w:rsid w:val="00500B11"/>
    <w:rsid w:val="00513551"/>
    <w:rsid w:val="008D18D9"/>
    <w:rsid w:val="00C738B2"/>
    <w:rsid w:val="00C75025"/>
    <w:rsid w:val="00C82894"/>
    <w:rsid w:val="00DD33FE"/>
    <w:rsid w:val="00E16F73"/>
    <w:rsid w:val="00E50502"/>
    <w:rsid w:val="00E53B72"/>
    <w:rsid w:val="00F2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56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90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1540</Words>
  <Characters>12185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4</cp:revision>
  <dcterms:created xsi:type="dcterms:W3CDTF">2025-06-03T04:42:00Z</dcterms:created>
  <dcterms:modified xsi:type="dcterms:W3CDTF">2025-07-21T05:21:00Z</dcterms:modified>
</cp:coreProperties>
</file>